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19A57594" w:rsidR="00A301E0" w:rsidRPr="00923720" w:rsidRDefault="00B07092" w:rsidP="00B36D5A">
            <w:pPr>
              <w:pStyle w:val="SISSCODE"/>
            </w:pPr>
            <w:r w:rsidRPr="00B07092">
              <w:t>RGRSS</w:t>
            </w:r>
            <w:r w:rsidR="004B1892">
              <w:t>00068</w:t>
            </w:r>
          </w:p>
        </w:tc>
        <w:tc>
          <w:tcPr>
            <w:tcW w:w="3604" w:type="pct"/>
            <w:shd w:val="clear" w:color="auto" w:fill="auto"/>
          </w:tcPr>
          <w:p w14:paraId="1EAD9312" w14:textId="4A6ABBC2" w:rsidR="00A301E0" w:rsidRPr="00923720" w:rsidRDefault="009326A6" w:rsidP="00B36D5A">
            <w:pPr>
              <w:pStyle w:val="SISStitle"/>
            </w:pPr>
            <w:r w:rsidRPr="009326A6">
              <w:t>Greyhound Preparation for Transitioning to a Pet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455524A8" w:rsidR="002F4FFE" w:rsidRPr="00CC451E" w:rsidRDefault="00B36D5A" w:rsidP="00CC451E">
            <w:pPr>
              <w:pStyle w:val="SIText"/>
            </w:pPr>
            <w:r w:rsidRPr="00B36D5A">
              <w:t xml:space="preserve">This version released with </w:t>
            </w:r>
            <w:r w:rsidR="00551353">
              <w:t xml:space="preserve">RGR </w:t>
            </w:r>
            <w:r w:rsidRPr="00B36D5A">
              <w:t>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21477" w14:textId="2F59D6BD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303BDC">
              <w:t>greyhound transition to pet programs</w:t>
            </w:r>
            <w:r w:rsidR="00B36D5A" w:rsidRPr="00B36D5A">
              <w:t xml:space="preserve"> </w:t>
            </w:r>
            <w:r w:rsidR="00B36D5A">
              <w:t xml:space="preserve">in the greyhound racing industry. It covers knowledge and skills relating to </w:t>
            </w:r>
            <w:r w:rsidR="00303BDC">
              <w:t xml:space="preserve">handling, </w:t>
            </w:r>
            <w:r w:rsidR="00303BDC" w:rsidRPr="00303BDC">
              <w:t>assessing suitability</w:t>
            </w:r>
            <w:r w:rsidR="00303BDC">
              <w:t>,</w:t>
            </w:r>
            <w:r w:rsidR="00303BDC" w:rsidRPr="00303BDC">
              <w:t xml:space="preserve"> </w:t>
            </w:r>
            <w:r w:rsidR="00303BDC">
              <w:t xml:space="preserve">and interpreting and managing greyhound behaviour to prepare greyhounds to </w:t>
            </w:r>
            <w:r w:rsidR="00303BDC" w:rsidRPr="00303BDC">
              <w:t xml:space="preserve">transition </w:t>
            </w:r>
            <w:r w:rsidR="00303BDC">
              <w:t>from racing to a pet</w:t>
            </w:r>
            <w:r w:rsidR="00B36D5A">
              <w:t>.</w:t>
            </w:r>
          </w:p>
          <w:p w14:paraId="1C012470" w14:textId="77777777" w:rsidR="00A772D9" w:rsidRPr="00856837" w:rsidRDefault="00A772D9" w:rsidP="00B36D5A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0FF896B5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538FE48" w14:textId="2A616572" w:rsidR="00B36D5A" w:rsidRDefault="00890663" w:rsidP="00303BDC">
            <w:pPr>
              <w:pStyle w:val="SIText"/>
            </w:pPr>
            <w:r>
              <w:t xml:space="preserve">These units of competency </w:t>
            </w:r>
            <w:r w:rsidR="00303BDC" w:rsidRPr="00303BDC">
              <w:t xml:space="preserve">build on skills in </w:t>
            </w:r>
            <w:r w:rsidR="00303BDC">
              <w:t>greyhound racing</w:t>
            </w:r>
            <w:r w:rsidR="00303BDC" w:rsidRPr="00303BDC">
              <w:t xml:space="preserve"> qualifications</w:t>
            </w:r>
            <w:r w:rsidR="00303BDC">
              <w:t xml:space="preserve">. They provide </w:t>
            </w:r>
            <w:r w:rsidR="00B36D5A" w:rsidRPr="00B36D5A">
              <w:t>credit towards</w:t>
            </w:r>
            <w:r w:rsidR="000E5CB8">
              <w:t xml:space="preserve"> </w:t>
            </w:r>
            <w:r w:rsidR="00B36D5A">
              <w:t>the:</w:t>
            </w:r>
          </w:p>
          <w:p w14:paraId="1C29F068" w14:textId="37D72EC3" w:rsidR="00A301E0" w:rsidRDefault="003528E1" w:rsidP="00FD2B25">
            <w:pPr>
              <w:pStyle w:val="SIBulletList1"/>
            </w:pPr>
            <w:r>
              <w:t xml:space="preserve">RGR40419 </w:t>
            </w:r>
            <w:r w:rsidR="00303BDC">
              <w:t xml:space="preserve">Certificate IV </w:t>
            </w:r>
            <w:r w:rsidR="00303BDC" w:rsidRPr="00303BDC">
              <w:t xml:space="preserve">in </w:t>
            </w:r>
            <w:r w:rsidR="00FD2B25" w:rsidRPr="00303BDC">
              <w:t xml:space="preserve">Greyhound </w:t>
            </w:r>
            <w:r w:rsidR="00303BDC" w:rsidRPr="00303BDC">
              <w:t xml:space="preserve">Racing </w:t>
            </w:r>
            <w:r w:rsidR="00FD2B25">
              <w:t>Industry.</w:t>
            </w:r>
          </w:p>
          <w:p w14:paraId="5205A98F" w14:textId="261F5C70" w:rsidR="00FD2B25" w:rsidRPr="00890663" w:rsidRDefault="00FD2B25" w:rsidP="00FD2B2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4ABF0CA0" w:rsidR="00A301E0" w:rsidRPr="00A301E0" w:rsidRDefault="00890663" w:rsidP="000E5CB8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0787C0DF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88A07F9" w14:textId="4CA40633" w:rsidR="003528E1" w:rsidRPr="003528E1" w:rsidRDefault="003528E1" w:rsidP="003528E1">
            <w:pPr>
              <w:pStyle w:val="SIText"/>
            </w:pPr>
            <w:r w:rsidRPr="00E246B1">
              <w:t xml:space="preserve">An asterisk (*) next to the unit code indicates that there are prerequisite requirements which must be met when packaging the </w:t>
            </w:r>
            <w:r w:rsidR="00A13542">
              <w:t>skill set</w:t>
            </w:r>
            <w:r w:rsidRPr="00E246B1">
              <w:t>. Please refer to the Prerequisite requirements table for details.</w:t>
            </w:r>
          </w:p>
          <w:p w14:paraId="7DFEE78D" w14:textId="77777777" w:rsidR="003528E1" w:rsidRPr="007B161F" w:rsidRDefault="003528E1" w:rsidP="007B161F">
            <w:pPr>
              <w:rPr>
                <w:lang w:eastAsia="en-US"/>
              </w:rPr>
            </w:pPr>
          </w:p>
          <w:p w14:paraId="069DE3F6" w14:textId="77777777" w:rsidR="00A63CD4" w:rsidRDefault="00A63CD4" w:rsidP="00452A93">
            <w:pPr>
              <w:pStyle w:val="SIBulletList1"/>
            </w:pPr>
            <w:r>
              <w:t>RGRPSG201 Handle greyhounds</w:t>
            </w:r>
            <w:r w:rsidRPr="00A63CD4">
              <w:t xml:space="preserve"> </w:t>
            </w:r>
          </w:p>
          <w:p w14:paraId="7D2167ED" w14:textId="723EFC87" w:rsidR="00452A93" w:rsidRDefault="00452A93" w:rsidP="00452A93">
            <w:pPr>
              <w:pStyle w:val="SIBulletList1"/>
            </w:pPr>
            <w:r w:rsidRPr="00452A93">
              <w:t>RGRPSG302</w:t>
            </w:r>
            <w:r w:rsidR="006063D1">
              <w:t>*</w:t>
            </w:r>
            <w:r w:rsidRPr="00452A93">
              <w:t xml:space="preserve"> Assess health and provide first aid for greyhounds</w:t>
            </w:r>
          </w:p>
          <w:p w14:paraId="405BD0B3" w14:textId="18C4D816" w:rsidR="000E5CB8" w:rsidRDefault="000F73F6" w:rsidP="000E5CB8">
            <w:pPr>
              <w:pStyle w:val="SIBulletList1"/>
            </w:pPr>
            <w:r w:rsidRPr="000E5CB8">
              <w:t>RGRPSG</w:t>
            </w:r>
            <w:r>
              <w:t>402</w:t>
            </w:r>
            <w:r w:rsidR="002A3436">
              <w:t>*</w:t>
            </w:r>
            <w:r w:rsidRPr="000E5CB8">
              <w:t xml:space="preserve"> </w:t>
            </w:r>
            <w:r w:rsidR="00303BDC">
              <w:t>Assess greyhounds for suitability to transition to a pet</w:t>
            </w:r>
          </w:p>
          <w:p w14:paraId="474FCB82" w14:textId="3CAEAB35" w:rsidR="00303BDC" w:rsidRPr="000E5CB8" w:rsidRDefault="000F73F6" w:rsidP="000E5CB8">
            <w:pPr>
              <w:pStyle w:val="SIBulletList1"/>
            </w:pPr>
            <w:r w:rsidRPr="00303BDC">
              <w:t>RGRPSG</w:t>
            </w:r>
            <w:r>
              <w:t>403</w:t>
            </w:r>
            <w:r w:rsidR="002A3436">
              <w:t>*</w:t>
            </w:r>
            <w:r w:rsidRPr="00303BDC">
              <w:t xml:space="preserve"> </w:t>
            </w:r>
            <w:r w:rsidR="00303BDC" w:rsidRPr="00303BDC">
              <w:t>Develop and implement greyhound transition to pet plan</w:t>
            </w:r>
          </w:p>
          <w:p w14:paraId="406697C0" w14:textId="69466DFB" w:rsidR="001F28F9" w:rsidRDefault="000F73F6" w:rsidP="00303BDC">
            <w:pPr>
              <w:pStyle w:val="SIBulletList1"/>
            </w:pPr>
            <w:r w:rsidRPr="000E5CB8">
              <w:t>R</w:t>
            </w:r>
            <w:r>
              <w:t xml:space="preserve">GRPSG411 </w:t>
            </w:r>
            <w:r w:rsidR="00303BDC">
              <w:t>Interpret and manage greyhound behaviour</w:t>
            </w:r>
            <w:r w:rsidR="000E5CB8">
              <w:t xml:space="preserve"> </w:t>
            </w:r>
          </w:p>
          <w:p w14:paraId="3FFBAF2D" w14:textId="77777777" w:rsidR="00303BDC" w:rsidRDefault="00303BDC" w:rsidP="00303BD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A31E512" w14:textId="13A87461" w:rsidR="002A3436" w:rsidRPr="002A3436" w:rsidRDefault="002A3436" w:rsidP="002A3436">
            <w:pPr>
              <w:pStyle w:val="SIText"/>
            </w:pPr>
            <w:r>
              <w:t>Note the * denotes units that have a prerequisite unit. T</w:t>
            </w:r>
            <w:r w:rsidRPr="002A3436">
              <w:t>he following chain of prerequisites applies to unit</w:t>
            </w:r>
            <w:r>
              <w:t>s in this skill set</w:t>
            </w:r>
            <w:r w:rsidRPr="002A3436">
              <w:t>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  <w:gridCol w:w="3989"/>
            </w:tblGrid>
            <w:tr w:rsidR="002A3436" w:rsidRPr="004C5A19" w14:paraId="032612CD" w14:textId="77777777" w:rsidTr="002A3436">
              <w:tc>
                <w:tcPr>
                  <w:tcW w:w="39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2DD8F4" w14:textId="77777777" w:rsidR="002A3436" w:rsidRPr="002A3436" w:rsidRDefault="002A3436" w:rsidP="002A3436">
                  <w:pPr>
                    <w:pStyle w:val="SIText-Bold"/>
                  </w:pPr>
                  <w:r w:rsidRPr="002A3436">
                    <w:t>Unit of competency</w:t>
                  </w:r>
                </w:p>
              </w:tc>
              <w:tc>
                <w:tcPr>
                  <w:tcW w:w="3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E8D451" w14:textId="77777777" w:rsidR="002A3436" w:rsidRPr="002A3436" w:rsidRDefault="002A3436" w:rsidP="002A3436">
                  <w:pPr>
                    <w:pStyle w:val="SIText-Bold"/>
                  </w:pPr>
                  <w:r w:rsidRPr="002A3436">
                    <w:t>Prerequisite requirement</w:t>
                  </w:r>
                </w:p>
              </w:tc>
            </w:tr>
            <w:tr w:rsidR="006063D1" w:rsidRPr="004C5A19" w14:paraId="562DBB0B" w14:textId="77777777" w:rsidTr="002A3436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683A2F" w14:textId="47F037DF" w:rsidR="006063D1" w:rsidRPr="002A3436" w:rsidRDefault="006063D1">
                  <w:pPr>
                    <w:pStyle w:val="SIText"/>
                  </w:pPr>
                  <w:r w:rsidRPr="006063D1">
                    <w:t xml:space="preserve">RGRPSG302* Assess health and </w:t>
                  </w:r>
                  <w:r>
                    <w:t>provide first aid for greyhound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8D0CB7" w14:textId="659C48B1" w:rsidR="006063D1" w:rsidRPr="002A3436" w:rsidRDefault="006063D1" w:rsidP="002A3436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2A3436" w:rsidRPr="004C5A19" w14:paraId="55B5C861" w14:textId="77777777" w:rsidTr="002A3436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AC011C" w14:textId="379D909C" w:rsidR="002A3436" w:rsidRPr="002A3436" w:rsidRDefault="002A3436" w:rsidP="002A3436">
                  <w:pPr>
                    <w:pStyle w:val="SIText"/>
                  </w:pPr>
                  <w:r w:rsidRPr="002A3436">
                    <w:t>RGRPSG402</w:t>
                  </w:r>
                  <w:r w:rsidR="006063D1">
                    <w:t>*</w:t>
                  </w:r>
                  <w:r w:rsidRPr="002A3436">
                    <w:t xml:space="preserve"> Assess greyhounds for suitability to transition to a pet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B389AE" w14:textId="0879AFAF" w:rsidR="002A3436" w:rsidRPr="002A3436" w:rsidRDefault="002A3436" w:rsidP="002A3436">
                  <w:pPr>
                    <w:pStyle w:val="SIText"/>
                  </w:pPr>
                  <w:r w:rsidRPr="002A3436">
                    <w:t>RGRPSG411 Interpret and manage greyhound behaviour</w:t>
                  </w:r>
                </w:p>
              </w:tc>
            </w:tr>
            <w:tr w:rsidR="002A3436" w:rsidRPr="004C5A19" w14:paraId="1C59A08A" w14:textId="77777777" w:rsidTr="002A3436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3CB8F9" w14:textId="3F556F91" w:rsidR="002A3436" w:rsidRPr="002A3436" w:rsidRDefault="002A3436" w:rsidP="002A3436">
                  <w:pPr>
                    <w:pStyle w:val="SIText"/>
                  </w:pPr>
                  <w:r w:rsidRPr="002A3436">
                    <w:t xml:space="preserve">RGRPSG403 Develop and implement greyhound transition to pet plan 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A5E0D9" w14:textId="77777777" w:rsidR="002A3436" w:rsidRPr="002A3436" w:rsidRDefault="002A3436" w:rsidP="002A3436">
                  <w:pPr>
                    <w:pStyle w:val="SIText"/>
                  </w:pPr>
                  <w:r w:rsidRPr="002A3436">
                    <w:t xml:space="preserve">RGRPSG402* Assess greyhounds for suitability to transition to a pet </w:t>
                  </w:r>
                </w:p>
                <w:p w14:paraId="09910AD7" w14:textId="35AFB023" w:rsidR="002A3436" w:rsidRPr="002A3436" w:rsidRDefault="002A3436" w:rsidP="002A3436">
                  <w:pPr>
                    <w:pStyle w:val="SIText"/>
                  </w:pPr>
                  <w:r w:rsidRPr="002A3436">
                    <w:t>RGRPSG411 Interpret and manage greyhound behaviour</w:t>
                  </w:r>
                </w:p>
              </w:tc>
            </w:tr>
          </w:tbl>
          <w:p w14:paraId="7429A4C4" w14:textId="654182C4" w:rsidR="002A3436" w:rsidRPr="00EB7EB1" w:rsidRDefault="002A3436" w:rsidP="004E1FB6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713B86C" w:rsidR="0016138C" w:rsidRPr="00EB7EB1" w:rsidRDefault="006A1D6C" w:rsidP="00303BD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>individuals working in the greyhound racing industry or in animal care services</w:t>
            </w:r>
            <w:r w:rsidR="00303BDC">
              <w:t xml:space="preserve"> working in programs </w:t>
            </w:r>
            <w:r w:rsidR="00303BDC" w:rsidRPr="00303BDC">
              <w:t xml:space="preserve">transitioning </w:t>
            </w:r>
            <w:r w:rsidR="00303BDC">
              <w:t>racing greyhounds to pets</w:t>
            </w:r>
            <w:r w:rsidR="008F05B8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6CBAFA1A" w:rsidR="00DB557A" w:rsidRPr="00EB7EB1" w:rsidRDefault="00DB557A" w:rsidP="00303BD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</w:t>
            </w:r>
            <w:r w:rsidR="00303BDC">
              <w:t>preparing greyhounds to transition to pets.</w:t>
            </w:r>
          </w:p>
        </w:tc>
      </w:tr>
    </w:tbl>
    <w:p w14:paraId="4291BD9C" w14:textId="77777777" w:rsidR="002A3436" w:rsidRDefault="002A3436" w:rsidP="004E1FB6">
      <w:pPr>
        <w:spacing w:after="200" w:line="276" w:lineRule="auto"/>
      </w:pPr>
    </w:p>
    <w:sectPr w:rsidR="002A3436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46DE9" w14:textId="77777777" w:rsidR="00A10571" w:rsidRDefault="00A10571" w:rsidP="00BF3F0A">
      <w:r>
        <w:separator/>
      </w:r>
    </w:p>
    <w:p w14:paraId="1B8958FE" w14:textId="77777777" w:rsidR="00A10571" w:rsidRDefault="00A10571"/>
  </w:endnote>
  <w:endnote w:type="continuationSeparator" w:id="0">
    <w:p w14:paraId="31B6ADCB" w14:textId="77777777" w:rsidR="00A10571" w:rsidRDefault="00A10571" w:rsidP="00BF3F0A">
      <w:r>
        <w:continuationSeparator/>
      </w:r>
    </w:p>
    <w:p w14:paraId="483622EE" w14:textId="77777777" w:rsidR="00A10571" w:rsidRDefault="00A10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B9776" w14:textId="77777777" w:rsidR="009915EB" w:rsidRDefault="009915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6E6B9CB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96AB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12DCA" w14:textId="77777777" w:rsidR="009915EB" w:rsidRDefault="00991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96AD7" w14:textId="77777777" w:rsidR="00A10571" w:rsidRDefault="00A10571" w:rsidP="00BF3F0A">
      <w:r>
        <w:separator/>
      </w:r>
    </w:p>
    <w:p w14:paraId="7C84A553" w14:textId="77777777" w:rsidR="00A10571" w:rsidRDefault="00A10571"/>
  </w:footnote>
  <w:footnote w:type="continuationSeparator" w:id="0">
    <w:p w14:paraId="06873677" w14:textId="77777777" w:rsidR="00A10571" w:rsidRDefault="00A10571" w:rsidP="00BF3F0A">
      <w:r>
        <w:continuationSeparator/>
      </w:r>
    </w:p>
    <w:p w14:paraId="0C412822" w14:textId="77777777" w:rsidR="00A10571" w:rsidRDefault="00A105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C6193" w14:textId="77777777" w:rsidR="009915EB" w:rsidRDefault="009915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054A0816" w:rsidR="009C2650" w:rsidRPr="000E5CB8" w:rsidRDefault="00B07092" w:rsidP="000E5CB8">
    <w:pPr>
      <w:pStyle w:val="Header"/>
    </w:pPr>
    <w:r w:rsidRPr="00B07092">
      <w:t>RGRSS</w:t>
    </w:r>
    <w:r w:rsidR="004B1892">
      <w:t>00069</w:t>
    </w:r>
    <w:r w:rsidRPr="00B07092">
      <w:t xml:space="preserve"> Greyhound Preparation for Transitioning to a Pet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E43A3" w14:textId="77777777" w:rsidR="009915EB" w:rsidRDefault="009915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5CB8"/>
    <w:rsid w:val="000F29F2"/>
    <w:rsid w:val="000F73F6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1C1C"/>
    <w:rsid w:val="002A3436"/>
    <w:rsid w:val="002A478D"/>
    <w:rsid w:val="002A4CD3"/>
    <w:rsid w:val="002B6C0E"/>
    <w:rsid w:val="002C55E9"/>
    <w:rsid w:val="002D0C8B"/>
    <w:rsid w:val="002E193E"/>
    <w:rsid w:val="002F4FFE"/>
    <w:rsid w:val="00303BDC"/>
    <w:rsid w:val="00337E82"/>
    <w:rsid w:val="00350BB1"/>
    <w:rsid w:val="003528E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A93"/>
    <w:rsid w:val="00452F3E"/>
    <w:rsid w:val="00462A59"/>
    <w:rsid w:val="004640AE"/>
    <w:rsid w:val="00475172"/>
    <w:rsid w:val="004758B0"/>
    <w:rsid w:val="004832D2"/>
    <w:rsid w:val="00485559"/>
    <w:rsid w:val="004A142B"/>
    <w:rsid w:val="004A44E8"/>
    <w:rsid w:val="004B1892"/>
    <w:rsid w:val="004B29B7"/>
    <w:rsid w:val="004C2244"/>
    <w:rsid w:val="004C79A1"/>
    <w:rsid w:val="004D0404"/>
    <w:rsid w:val="004D0D5F"/>
    <w:rsid w:val="004D1569"/>
    <w:rsid w:val="004D2710"/>
    <w:rsid w:val="004D44B1"/>
    <w:rsid w:val="004E0460"/>
    <w:rsid w:val="004E1579"/>
    <w:rsid w:val="004E1FB6"/>
    <w:rsid w:val="004E5FAE"/>
    <w:rsid w:val="004E7094"/>
    <w:rsid w:val="004F5DC7"/>
    <w:rsid w:val="004F78DA"/>
    <w:rsid w:val="005248C1"/>
    <w:rsid w:val="00526134"/>
    <w:rsid w:val="005427C8"/>
    <w:rsid w:val="005446D1"/>
    <w:rsid w:val="00551353"/>
    <w:rsid w:val="0055293D"/>
    <w:rsid w:val="00556C4C"/>
    <w:rsid w:val="00557369"/>
    <w:rsid w:val="0056009D"/>
    <w:rsid w:val="005708EB"/>
    <w:rsid w:val="0057260F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063D1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9DB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A3193"/>
    <w:rsid w:val="007B161F"/>
    <w:rsid w:val="007D5A78"/>
    <w:rsid w:val="007E3BD1"/>
    <w:rsid w:val="007F1563"/>
    <w:rsid w:val="007F44DB"/>
    <w:rsid w:val="007F5A8B"/>
    <w:rsid w:val="007F7554"/>
    <w:rsid w:val="008044AE"/>
    <w:rsid w:val="0080564C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0C6B"/>
    <w:rsid w:val="009527CB"/>
    <w:rsid w:val="00953835"/>
    <w:rsid w:val="009576DE"/>
    <w:rsid w:val="00960F6C"/>
    <w:rsid w:val="00970747"/>
    <w:rsid w:val="0098725E"/>
    <w:rsid w:val="009915EB"/>
    <w:rsid w:val="009A5900"/>
    <w:rsid w:val="009B7B60"/>
    <w:rsid w:val="009C2650"/>
    <w:rsid w:val="009D15E2"/>
    <w:rsid w:val="009D15FE"/>
    <w:rsid w:val="009D5D2C"/>
    <w:rsid w:val="009E3B41"/>
    <w:rsid w:val="009E61CD"/>
    <w:rsid w:val="009F0DCC"/>
    <w:rsid w:val="009F11CA"/>
    <w:rsid w:val="00A0695B"/>
    <w:rsid w:val="00A10571"/>
    <w:rsid w:val="00A13052"/>
    <w:rsid w:val="00A13542"/>
    <w:rsid w:val="00A216A8"/>
    <w:rsid w:val="00A223A6"/>
    <w:rsid w:val="00A301E0"/>
    <w:rsid w:val="00A354FC"/>
    <w:rsid w:val="00A375D1"/>
    <w:rsid w:val="00A5092E"/>
    <w:rsid w:val="00A56E14"/>
    <w:rsid w:val="00A63CD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271A"/>
    <w:rsid w:val="00AD3896"/>
    <w:rsid w:val="00AD5B47"/>
    <w:rsid w:val="00AE1ED9"/>
    <w:rsid w:val="00AE32CB"/>
    <w:rsid w:val="00AF3957"/>
    <w:rsid w:val="00B07092"/>
    <w:rsid w:val="00B12013"/>
    <w:rsid w:val="00B22C67"/>
    <w:rsid w:val="00B23199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96AB1"/>
    <w:rsid w:val="00BA1CB1"/>
    <w:rsid w:val="00BA482D"/>
    <w:rsid w:val="00BA7B66"/>
    <w:rsid w:val="00BB23F4"/>
    <w:rsid w:val="00BC2B57"/>
    <w:rsid w:val="00BC5075"/>
    <w:rsid w:val="00BD3B0F"/>
    <w:rsid w:val="00BF1D4C"/>
    <w:rsid w:val="00BF3F0A"/>
    <w:rsid w:val="00C01B36"/>
    <w:rsid w:val="00C143C3"/>
    <w:rsid w:val="00C144CD"/>
    <w:rsid w:val="00C1739B"/>
    <w:rsid w:val="00C26067"/>
    <w:rsid w:val="00C30A29"/>
    <w:rsid w:val="00C317D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C49EE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D2B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303BD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EC864-9674-4C94-94C6-A93A7FFDF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0A4F8604-F08E-4C00-9959-CF1A806D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7</cp:revision>
  <cp:lastPrinted>2019-04-05T03:48:00Z</cp:lastPrinted>
  <dcterms:created xsi:type="dcterms:W3CDTF">2019-05-17T04:56:00Z</dcterms:created>
  <dcterms:modified xsi:type="dcterms:W3CDTF">2019-06-27T03:08:00Z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